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F7B51" w14:textId="54DB1B66" w:rsidR="00C57754" w:rsidRDefault="00C57754" w:rsidP="00F545E5">
      <w:pPr>
        <w:pStyle w:val="Header"/>
        <w:tabs>
          <w:tab w:val="right" w:pos="9900"/>
          <w:tab w:val="right" w:pos="13323"/>
        </w:tabs>
        <w:jc w:val="both"/>
        <w:rPr>
          <w:sz w:val="24"/>
          <w:szCs w:val="24"/>
          <w:lang w:val="pt-BR"/>
        </w:rPr>
      </w:pPr>
      <w:bookmarkStart w:id="0" w:name="_Hlk494371635"/>
      <w:r>
        <w:rPr>
          <w:sz w:val="24"/>
          <w:szCs w:val="24"/>
          <w:lang w:val="pt-BR"/>
        </w:rPr>
        <w:t>3GPP TSG-RAN WG4 RAN4-84Bis</w:t>
      </w:r>
      <w:r>
        <w:rPr>
          <w:sz w:val="24"/>
          <w:szCs w:val="24"/>
          <w:lang w:val="pt-BR"/>
        </w:rPr>
        <w:tab/>
      </w:r>
      <w:r w:rsidR="00CB09A0" w:rsidRPr="00CB09A0">
        <w:rPr>
          <w:sz w:val="24"/>
          <w:szCs w:val="24"/>
          <w:lang w:val="pt-BR"/>
        </w:rPr>
        <w:t>R4-1710935</w:t>
      </w:r>
    </w:p>
    <w:p w14:paraId="7D3C7696" w14:textId="2F2952CF" w:rsidR="00664D98" w:rsidRDefault="00C57754" w:rsidP="00F545E5">
      <w:pPr>
        <w:pStyle w:val="BodyText"/>
        <w:jc w:val="both"/>
        <w:rPr>
          <w:rFonts w:ascii="Arial" w:hAnsi="Arial"/>
          <w:b/>
          <w:noProof/>
          <w:lang w:val="en-GB"/>
        </w:rPr>
      </w:pPr>
      <w:r w:rsidRPr="00883873">
        <w:rPr>
          <w:rFonts w:ascii="Arial" w:hAnsi="Arial"/>
          <w:b/>
          <w:noProof/>
          <w:lang w:val="en-GB"/>
        </w:rPr>
        <w:t xml:space="preserve">Dubrovnik, Croatia, </w:t>
      </w:r>
      <w:r>
        <w:rPr>
          <w:rFonts w:ascii="Arial" w:hAnsi="Arial"/>
          <w:b/>
          <w:noProof/>
          <w:lang w:val="en-GB"/>
        </w:rPr>
        <w:t>9</w:t>
      </w:r>
      <w:r w:rsidRPr="00883873">
        <w:rPr>
          <w:rFonts w:ascii="Arial" w:hAnsi="Arial"/>
          <w:b/>
          <w:noProof/>
          <w:lang w:val="en-GB"/>
        </w:rPr>
        <w:t>-</w:t>
      </w:r>
      <w:r>
        <w:rPr>
          <w:rFonts w:ascii="Arial" w:hAnsi="Arial"/>
          <w:b/>
          <w:noProof/>
          <w:lang w:val="en-GB"/>
        </w:rPr>
        <w:t>13</w:t>
      </w:r>
      <w:r w:rsidRPr="00883873">
        <w:rPr>
          <w:rFonts w:ascii="Arial" w:hAnsi="Arial"/>
          <w:b/>
          <w:noProof/>
          <w:lang w:val="en-GB"/>
        </w:rPr>
        <w:t xml:space="preserve"> October, 2017</w:t>
      </w:r>
      <w:bookmarkEnd w:id="0"/>
    </w:p>
    <w:p w14:paraId="5F5AA78A" w14:textId="77777777" w:rsidR="00C57754" w:rsidRDefault="00C57754" w:rsidP="00F545E5">
      <w:pPr>
        <w:pStyle w:val="BodyText"/>
        <w:jc w:val="both"/>
        <w:rPr>
          <w:b/>
          <w:noProof/>
          <w:lang w:eastAsia="zh-CN"/>
        </w:rPr>
      </w:pPr>
    </w:p>
    <w:p w14:paraId="139E5AA5" w14:textId="77777777" w:rsidR="00664D98" w:rsidRPr="005C2B50" w:rsidRDefault="00664D98" w:rsidP="00F545E5">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4984D0DD" w:rsidR="00664D98" w:rsidRPr="00A70757" w:rsidRDefault="00664D98" w:rsidP="00F545E5">
      <w:pPr>
        <w:pStyle w:val="BodyText"/>
        <w:spacing w:after="120"/>
        <w:ind w:left="720" w:hanging="720"/>
        <w:jc w:val="both"/>
      </w:pPr>
      <w:r w:rsidRPr="005C2B50">
        <w:rPr>
          <w:b/>
        </w:rPr>
        <w:t>Title:</w:t>
      </w:r>
      <w:r w:rsidRPr="005C2B50">
        <w:rPr>
          <w:b/>
        </w:rPr>
        <w:tab/>
      </w:r>
      <w:r w:rsidRPr="005C2B50">
        <w:rPr>
          <w:b/>
        </w:rPr>
        <w:tab/>
      </w:r>
      <w:r w:rsidRPr="005C2B50">
        <w:rPr>
          <w:b/>
        </w:rPr>
        <w:tab/>
      </w:r>
      <w:r w:rsidR="005C15BC" w:rsidRPr="005C15BC">
        <w:t>Reasoning for proposal to revise eAAS EMC approach</w:t>
      </w:r>
    </w:p>
    <w:p w14:paraId="7E9B3BA8" w14:textId="72322E18" w:rsidR="00664D98" w:rsidRPr="00347BDE" w:rsidRDefault="00664D98" w:rsidP="00F545E5">
      <w:pPr>
        <w:pStyle w:val="BodyText"/>
        <w:spacing w:after="120"/>
        <w:jc w:val="both"/>
        <w:rPr>
          <w:lang w:val="sv-SE"/>
        </w:rPr>
      </w:pPr>
      <w:r w:rsidRPr="00BF1A2A">
        <w:rPr>
          <w:b/>
          <w:lang w:val="sv-SE"/>
        </w:rPr>
        <w:t>Agenda item:</w:t>
      </w:r>
      <w:r w:rsidRPr="00BF1A2A">
        <w:rPr>
          <w:b/>
          <w:lang w:val="sv-SE"/>
        </w:rPr>
        <w:tab/>
      </w:r>
      <w:r w:rsidRPr="00BF1A2A">
        <w:rPr>
          <w:b/>
          <w:lang w:val="sv-SE"/>
        </w:rPr>
        <w:tab/>
      </w:r>
      <w:r w:rsidR="001708BA" w:rsidRPr="001708BA">
        <w:rPr>
          <w:lang w:val="sv-SE"/>
        </w:rPr>
        <w:t>8.27.3.6</w:t>
      </w:r>
    </w:p>
    <w:p w14:paraId="244C963E" w14:textId="7185ADFC" w:rsidR="00664D98" w:rsidRPr="005C2B50" w:rsidRDefault="00664D98" w:rsidP="00F545E5">
      <w:pPr>
        <w:pStyle w:val="BodyText"/>
        <w:spacing w:after="120"/>
        <w:jc w:val="both"/>
        <w:rPr>
          <w:b/>
        </w:rPr>
      </w:pPr>
      <w:r w:rsidRPr="005C2B50">
        <w:rPr>
          <w:b/>
        </w:rPr>
        <w:t>Document for:</w:t>
      </w:r>
      <w:r w:rsidRPr="005C2B50">
        <w:rPr>
          <w:b/>
        </w:rPr>
        <w:tab/>
      </w:r>
      <w:r w:rsidR="00E00988" w:rsidRPr="00E00988">
        <w:t>Approval</w:t>
      </w:r>
    </w:p>
    <w:p w14:paraId="292C85E4" w14:textId="77777777" w:rsidR="00664D98" w:rsidRDefault="00664D98" w:rsidP="00F545E5">
      <w:pPr>
        <w:pStyle w:val="Heading1"/>
        <w:jc w:val="both"/>
        <w:rPr>
          <w:lang w:val="en-US"/>
        </w:rPr>
      </w:pPr>
      <w:r w:rsidRPr="006A67A0">
        <w:rPr>
          <w:lang w:val="en-US"/>
        </w:rPr>
        <w:t>Introduction</w:t>
      </w:r>
    </w:p>
    <w:p w14:paraId="6B199DCE" w14:textId="53F8B83B" w:rsidR="00F545E5" w:rsidRPr="00F6302A" w:rsidRDefault="003D07BC" w:rsidP="00F545E5">
      <w:pPr>
        <w:pStyle w:val="BodyText"/>
      </w:pPr>
      <w:r w:rsidRPr="003D07BC">
        <w:rPr>
          <w:color w:val="000000" w:themeColor="text1"/>
          <w:sz w:val="22"/>
        </w:rPr>
        <w:t xml:space="preserve">EMC radiated emission requirements for base stations and ancillary equipment were discussed in RAN4-#84. </w:t>
      </w:r>
      <w:r w:rsidR="00F545E5">
        <w:rPr>
          <w:color w:val="000000" w:themeColor="text1"/>
          <w:sz w:val="22"/>
        </w:rPr>
        <w:t>D</w:t>
      </w:r>
      <w:r w:rsidRPr="003D07BC">
        <w:rPr>
          <w:color w:val="000000" w:themeColor="text1"/>
          <w:sz w:val="22"/>
        </w:rPr>
        <w:t xml:space="preserve">uring the meeting some unclarities with respect to the regulatory requirements were identified. </w:t>
      </w:r>
      <w:r w:rsidR="00F545E5">
        <w:t>This paper discusses some aspects of to be considered in the specification of EMC requirements for eAAS.</w:t>
      </w:r>
    </w:p>
    <w:p w14:paraId="47A8774F" w14:textId="77777777" w:rsidR="002E57B8" w:rsidRPr="002E57B8" w:rsidRDefault="002E57B8" w:rsidP="00F545E5">
      <w:pPr>
        <w:pStyle w:val="Heading1"/>
        <w:jc w:val="both"/>
      </w:pPr>
      <w:r>
        <w:t>Discussion</w:t>
      </w:r>
    </w:p>
    <w:p w14:paraId="56B5E6CE" w14:textId="77777777" w:rsidR="002412E5" w:rsidRDefault="002412E5" w:rsidP="00F545E5">
      <w:pPr>
        <w:pStyle w:val="Heading2"/>
        <w:jc w:val="both"/>
      </w:pPr>
      <w:r>
        <w:t xml:space="preserve">WF agreement on </w:t>
      </w:r>
      <w:r w:rsidRPr="00AB472B">
        <w:t xml:space="preserve">EMC radiated emission and RF spurious emission requirements for NR BS </w:t>
      </w:r>
    </w:p>
    <w:p w14:paraId="1B645F1B" w14:textId="5884E9C2" w:rsidR="002412E5" w:rsidRDefault="002412E5" w:rsidP="00F545E5">
      <w:pPr>
        <w:spacing w:line="276" w:lineRule="auto"/>
        <w:jc w:val="both"/>
        <w:rPr>
          <w:color w:val="000000" w:themeColor="text1"/>
          <w:sz w:val="22"/>
        </w:rPr>
      </w:pPr>
      <w:r>
        <w:rPr>
          <w:color w:val="000000" w:themeColor="text1"/>
          <w:sz w:val="22"/>
        </w:rPr>
        <w:t>During RAN4</w:t>
      </w:r>
      <w:r w:rsidRPr="00AB472B">
        <w:rPr>
          <w:color w:val="000000" w:themeColor="text1"/>
          <w:sz w:val="22"/>
        </w:rPr>
        <w:t xml:space="preserve"> NR #3, a way forward on EMC radiated emission and RF spurious emission requir</w:t>
      </w:r>
      <w:r w:rsidR="00D00D1E">
        <w:rPr>
          <w:color w:val="000000" w:themeColor="text1"/>
          <w:sz w:val="22"/>
        </w:rPr>
        <w:t>ements for NR BS was approved [1</w:t>
      </w:r>
      <w:r w:rsidRPr="00AB472B">
        <w:rPr>
          <w:color w:val="000000" w:themeColor="text1"/>
          <w:sz w:val="22"/>
        </w:rPr>
        <w:t xml:space="preserve">]. The agreement this WF </w:t>
      </w:r>
      <w:r w:rsidR="00EF7908" w:rsidRPr="00AB472B">
        <w:rPr>
          <w:color w:val="000000" w:themeColor="text1"/>
          <w:sz w:val="22"/>
        </w:rPr>
        <w:t>centres</w:t>
      </w:r>
      <w:r w:rsidRPr="00AB472B">
        <w:rPr>
          <w:color w:val="000000" w:themeColor="text1"/>
          <w:sz w:val="22"/>
        </w:rPr>
        <w:t xml:space="preserve"> on the understanding that for NR BS 1-O and 2-O RF radiated spurious emission includes the EMC radiated emissions. In this case, RF radiated spurious emissions and EMC radiated emissions cannot be distinguished in the OTA measurement setup. </w:t>
      </w:r>
    </w:p>
    <w:p w14:paraId="2B3CB53C" w14:textId="2375E90B" w:rsidR="002C357B" w:rsidRDefault="002412E5" w:rsidP="00F545E5">
      <w:pPr>
        <w:spacing w:line="276" w:lineRule="auto"/>
        <w:jc w:val="both"/>
        <w:rPr>
          <w:color w:val="000000" w:themeColor="text1"/>
          <w:sz w:val="22"/>
        </w:rPr>
      </w:pPr>
      <w:r w:rsidRPr="00FD6E31">
        <w:rPr>
          <w:b/>
          <w:color w:val="000000" w:themeColor="text1"/>
          <w:sz w:val="22"/>
        </w:rPr>
        <w:t xml:space="preserve">Observation 1: </w:t>
      </w:r>
      <w:r w:rsidR="002C357B">
        <w:rPr>
          <w:color w:val="000000" w:themeColor="text1"/>
          <w:sz w:val="22"/>
        </w:rPr>
        <w:t xml:space="preserve">The WF </w:t>
      </w:r>
      <w:r w:rsidR="00D00D1E">
        <w:rPr>
          <w:color w:val="000000" w:themeColor="text1"/>
          <w:sz w:val="22"/>
        </w:rPr>
        <w:t>[1</w:t>
      </w:r>
      <w:r w:rsidR="002C357B" w:rsidRPr="00AB472B">
        <w:rPr>
          <w:color w:val="000000" w:themeColor="text1"/>
          <w:sz w:val="22"/>
        </w:rPr>
        <w:t>]</w:t>
      </w:r>
      <w:r w:rsidR="002C357B">
        <w:rPr>
          <w:color w:val="000000" w:themeColor="text1"/>
          <w:sz w:val="22"/>
        </w:rPr>
        <w:t xml:space="preserve"> agreed that f</w:t>
      </w:r>
      <w:r w:rsidRPr="00AB472B">
        <w:rPr>
          <w:color w:val="000000" w:themeColor="text1"/>
          <w:sz w:val="22"/>
        </w:rPr>
        <w:t>or NR BS 1-O and 2-O RF radiated spurious emission includes the EMC radiated emissions. In this case, RF radiated spurious emissions and EMC radiated emissions cannot be distinguished in the OTA measurement setup.</w:t>
      </w:r>
      <w:r>
        <w:rPr>
          <w:color w:val="000000" w:themeColor="text1"/>
          <w:sz w:val="22"/>
        </w:rPr>
        <w:t xml:space="preserve"> </w:t>
      </w:r>
      <w:r w:rsidR="001530F3">
        <w:rPr>
          <w:color w:val="000000" w:themeColor="text1"/>
          <w:sz w:val="22"/>
        </w:rPr>
        <w:t>This agreement should be considered in eAAS specifications.</w:t>
      </w:r>
    </w:p>
    <w:p w14:paraId="74A1425B" w14:textId="0F758836" w:rsidR="002412E5" w:rsidRDefault="002C357B" w:rsidP="00F545E5">
      <w:pPr>
        <w:spacing w:line="276" w:lineRule="auto"/>
        <w:jc w:val="both"/>
        <w:rPr>
          <w:color w:val="000000" w:themeColor="text1"/>
          <w:sz w:val="22"/>
        </w:rPr>
      </w:pPr>
      <w:r w:rsidRPr="00FD6E31">
        <w:rPr>
          <w:b/>
          <w:color w:val="000000" w:themeColor="text1"/>
          <w:sz w:val="22"/>
        </w:rPr>
        <w:t>Observation 2:</w:t>
      </w:r>
      <w:r>
        <w:rPr>
          <w:color w:val="000000" w:themeColor="text1"/>
          <w:sz w:val="22"/>
        </w:rPr>
        <w:t xml:space="preserve"> T</w:t>
      </w:r>
      <w:r w:rsidR="002412E5">
        <w:rPr>
          <w:color w:val="000000" w:themeColor="text1"/>
          <w:sz w:val="22"/>
        </w:rPr>
        <w:t xml:space="preserve">he sum </w:t>
      </w:r>
      <w:r w:rsidR="002412E5" w:rsidRPr="00B367F6">
        <w:rPr>
          <w:color w:val="000000" w:themeColor="text1"/>
          <w:sz w:val="22"/>
        </w:rPr>
        <w:t xml:space="preserve">of RF spurious + EMC radiated emission </w:t>
      </w:r>
      <w:r w:rsidR="00850FCC">
        <w:rPr>
          <w:color w:val="000000" w:themeColor="text1"/>
          <w:sz w:val="22"/>
        </w:rPr>
        <w:t xml:space="preserve">might represent </w:t>
      </w:r>
      <w:r w:rsidR="002412E5">
        <w:rPr>
          <w:color w:val="000000" w:themeColor="text1"/>
          <w:sz w:val="22"/>
        </w:rPr>
        <w:t>a redundant addition considering that in the OTA measurement setup is not possible to distinguish these two types of emissions.</w:t>
      </w:r>
    </w:p>
    <w:p w14:paraId="1689A7E1" w14:textId="4B02D1B4" w:rsidR="002C357B" w:rsidRDefault="00850FCC" w:rsidP="00F545E5">
      <w:pPr>
        <w:pStyle w:val="Heading2"/>
        <w:jc w:val="both"/>
      </w:pPr>
      <w:r>
        <w:t>Regulatory considerations</w:t>
      </w:r>
      <w:r w:rsidR="002C357B" w:rsidRPr="00AB472B">
        <w:t xml:space="preserve"> </w:t>
      </w:r>
    </w:p>
    <w:p w14:paraId="5336CC00" w14:textId="74C34103" w:rsidR="005A260E" w:rsidRDefault="006A0B2A" w:rsidP="00F545E5">
      <w:pPr>
        <w:spacing w:line="276" w:lineRule="auto"/>
        <w:jc w:val="both"/>
        <w:rPr>
          <w:color w:val="000000" w:themeColor="text1"/>
          <w:sz w:val="22"/>
        </w:rPr>
      </w:pPr>
      <w:r>
        <w:rPr>
          <w:color w:val="000000" w:themeColor="text1"/>
          <w:sz w:val="22"/>
        </w:rPr>
        <w:t>In RAN4 specifications, the radiated emission requirement for enclosure port emissions of BS are specified in terms of ERP in the EMC specifications. Example from TS 37.113</w:t>
      </w:r>
      <w:r w:rsidR="00143176">
        <w:rPr>
          <w:color w:val="000000" w:themeColor="text1"/>
          <w:sz w:val="22"/>
        </w:rPr>
        <w:t xml:space="preserve"> [2]</w:t>
      </w:r>
      <w:r w:rsidR="005A260E">
        <w:rPr>
          <w:color w:val="000000" w:themeColor="text1"/>
          <w:sz w:val="22"/>
        </w:rPr>
        <w:t xml:space="preserve"> shown in Table 1.</w:t>
      </w:r>
    </w:p>
    <w:p w14:paraId="79F4CD35" w14:textId="26CE3487" w:rsidR="006A0B2A" w:rsidRDefault="006A0B2A" w:rsidP="00B925DC">
      <w:pPr>
        <w:spacing w:line="276" w:lineRule="auto"/>
        <w:jc w:val="center"/>
        <w:rPr>
          <w:color w:val="000000" w:themeColor="text1"/>
          <w:sz w:val="22"/>
        </w:rPr>
      </w:pPr>
      <w:r>
        <w:rPr>
          <w:color w:val="000000" w:themeColor="text1"/>
          <w:sz w:val="22"/>
        </w:rPr>
        <w:t xml:space="preserve">Table 1. </w:t>
      </w:r>
      <w:r w:rsidRPr="00250B73">
        <w:rPr>
          <w:color w:val="000000" w:themeColor="text1"/>
          <w:sz w:val="22"/>
        </w:rPr>
        <w:t>Limits for radiated emissions from BS</w:t>
      </w:r>
      <w:r>
        <w:rPr>
          <w:color w:val="000000" w:themeColor="text1"/>
          <w:sz w:val="22"/>
        </w:rPr>
        <w:t xml:space="preserve"> as specified in TS 37.113 for MSR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6A0B2A" w:rsidRPr="00284F4B" w14:paraId="767955AA" w14:textId="77777777" w:rsidTr="00020EE0">
        <w:trPr>
          <w:cantSplit/>
          <w:jc w:val="center"/>
        </w:trPr>
        <w:tc>
          <w:tcPr>
            <w:tcW w:w="2765" w:type="dxa"/>
          </w:tcPr>
          <w:p w14:paraId="3F716390" w14:textId="77777777" w:rsidR="006A0B2A" w:rsidRPr="00284F4B" w:rsidRDefault="006A0B2A" w:rsidP="00F545E5">
            <w:pPr>
              <w:pStyle w:val="TAH"/>
              <w:jc w:val="both"/>
              <w:rPr>
                <w:lang w:eastAsia="en-GB"/>
              </w:rPr>
            </w:pPr>
            <w:r w:rsidRPr="00284F4B">
              <w:rPr>
                <w:lang w:eastAsia="en-GB"/>
              </w:rPr>
              <w:t>Frequency range</w:t>
            </w:r>
          </w:p>
        </w:tc>
        <w:tc>
          <w:tcPr>
            <w:tcW w:w="3580" w:type="dxa"/>
          </w:tcPr>
          <w:p w14:paraId="7C056825" w14:textId="77777777" w:rsidR="006A0B2A" w:rsidRPr="00284F4B" w:rsidRDefault="006A0B2A" w:rsidP="00F545E5">
            <w:pPr>
              <w:pStyle w:val="TAH"/>
              <w:jc w:val="both"/>
              <w:rPr>
                <w:lang w:eastAsia="en-GB"/>
              </w:rPr>
            </w:pPr>
            <w:r w:rsidRPr="00284F4B">
              <w:rPr>
                <w:lang w:eastAsia="en-GB"/>
              </w:rPr>
              <w:t>Minimum requirement (e.r.p.)/Reference Bandwidth</w:t>
            </w:r>
          </w:p>
        </w:tc>
      </w:tr>
      <w:tr w:rsidR="006A0B2A" w:rsidRPr="00284F4B" w14:paraId="527FEEF3" w14:textId="77777777" w:rsidTr="00020EE0">
        <w:trPr>
          <w:cantSplit/>
          <w:jc w:val="center"/>
        </w:trPr>
        <w:tc>
          <w:tcPr>
            <w:tcW w:w="2765" w:type="dxa"/>
          </w:tcPr>
          <w:p w14:paraId="27D84F46" w14:textId="77777777" w:rsidR="006A0B2A" w:rsidRPr="00284F4B" w:rsidRDefault="006A0B2A" w:rsidP="00F545E5">
            <w:pPr>
              <w:pStyle w:val="TAC"/>
              <w:jc w:val="both"/>
              <w:rPr>
                <w:lang w:eastAsia="en-GB"/>
              </w:rPr>
            </w:pPr>
            <w:r w:rsidRPr="00284F4B">
              <w:rPr>
                <w:lang w:eastAsia="en-GB"/>
              </w:rPr>
              <w:t>30 MHz</w:t>
            </w:r>
            <w:r w:rsidRPr="00284F4B">
              <w:rPr>
                <w:lang w:eastAsia="en-GB"/>
              </w:rPr>
              <w:sym w:font="Symbol" w:char="F0A3"/>
            </w:r>
            <w:r w:rsidRPr="00284F4B">
              <w:rPr>
                <w:lang w:eastAsia="en-GB"/>
              </w:rPr>
              <w:t xml:space="preserve"> f &lt;1000 MHz</w:t>
            </w:r>
          </w:p>
        </w:tc>
        <w:tc>
          <w:tcPr>
            <w:tcW w:w="3580" w:type="dxa"/>
          </w:tcPr>
          <w:p w14:paraId="3065F54A" w14:textId="77777777" w:rsidR="006A0B2A" w:rsidRPr="00284F4B" w:rsidRDefault="006A0B2A" w:rsidP="00F545E5">
            <w:pPr>
              <w:pStyle w:val="TAC"/>
              <w:jc w:val="both"/>
              <w:rPr>
                <w:lang w:eastAsia="en-GB"/>
              </w:rPr>
            </w:pPr>
            <w:r w:rsidRPr="00284F4B">
              <w:rPr>
                <w:lang w:eastAsia="en-GB"/>
              </w:rPr>
              <w:t>-36 dBm/100 kHz</w:t>
            </w:r>
          </w:p>
        </w:tc>
      </w:tr>
      <w:tr w:rsidR="006A0B2A" w:rsidRPr="00284F4B" w14:paraId="54F8E4B6" w14:textId="77777777" w:rsidTr="00020EE0">
        <w:trPr>
          <w:cantSplit/>
          <w:jc w:val="center"/>
        </w:trPr>
        <w:tc>
          <w:tcPr>
            <w:tcW w:w="2765" w:type="dxa"/>
          </w:tcPr>
          <w:p w14:paraId="10FEBCAB" w14:textId="77777777" w:rsidR="006A0B2A" w:rsidRPr="00284F4B" w:rsidRDefault="006A0B2A" w:rsidP="00F545E5">
            <w:pPr>
              <w:pStyle w:val="TAC"/>
              <w:jc w:val="both"/>
              <w:rPr>
                <w:lang w:eastAsia="en-GB"/>
              </w:rPr>
            </w:pPr>
            <w:r w:rsidRPr="00284F4B">
              <w:rPr>
                <w:lang w:eastAsia="en-GB"/>
              </w:rPr>
              <w:t>1 GHz</w:t>
            </w:r>
            <w:r w:rsidRPr="00284F4B">
              <w:rPr>
                <w:lang w:eastAsia="en-GB"/>
              </w:rPr>
              <w:sym w:font="Symbol" w:char="F0A3"/>
            </w:r>
            <w:r w:rsidRPr="00284F4B">
              <w:rPr>
                <w:lang w:eastAsia="en-GB"/>
              </w:rPr>
              <w:t xml:space="preserve"> f &lt;12,75 GHz</w:t>
            </w:r>
          </w:p>
        </w:tc>
        <w:tc>
          <w:tcPr>
            <w:tcW w:w="3580" w:type="dxa"/>
          </w:tcPr>
          <w:p w14:paraId="17989E2D" w14:textId="77777777" w:rsidR="006A0B2A" w:rsidRPr="00284F4B" w:rsidRDefault="006A0B2A" w:rsidP="00F545E5">
            <w:pPr>
              <w:pStyle w:val="TAC"/>
              <w:jc w:val="both"/>
              <w:rPr>
                <w:lang w:eastAsia="en-GB"/>
              </w:rPr>
            </w:pPr>
            <w:r w:rsidRPr="00284F4B">
              <w:rPr>
                <w:lang w:eastAsia="en-GB"/>
              </w:rPr>
              <w:t>-30 dBm/ 1MHz</w:t>
            </w:r>
          </w:p>
        </w:tc>
      </w:tr>
      <w:tr w:rsidR="006A0B2A" w:rsidRPr="00284F4B" w14:paraId="65D52DAC" w14:textId="77777777" w:rsidTr="00020EE0">
        <w:trPr>
          <w:cantSplit/>
          <w:jc w:val="center"/>
        </w:trPr>
        <w:tc>
          <w:tcPr>
            <w:tcW w:w="2765" w:type="dxa"/>
          </w:tcPr>
          <w:p w14:paraId="6B6AF514" w14:textId="77777777" w:rsidR="006A0B2A" w:rsidRPr="00284F4B" w:rsidRDefault="006A0B2A" w:rsidP="00F545E5">
            <w:pPr>
              <w:pStyle w:val="TAC"/>
              <w:jc w:val="both"/>
              <w:rPr>
                <w:lang w:eastAsia="en-GB"/>
              </w:rPr>
            </w:pPr>
            <w:r w:rsidRPr="00284F4B">
              <w:t>F</w:t>
            </w:r>
            <w:r w:rsidRPr="00284F4B">
              <w:rPr>
                <w:vertAlign w:val="subscript"/>
              </w:rPr>
              <w:t xml:space="preserve">BW RF,low </w:t>
            </w:r>
            <w:r w:rsidRPr="00284F4B">
              <w:rPr>
                <w:lang w:eastAsia="en-GB"/>
              </w:rPr>
              <w:t xml:space="preserve">- 10 MHz &lt; f &lt; </w:t>
            </w:r>
            <w:r w:rsidRPr="00284F4B">
              <w:t>F</w:t>
            </w:r>
            <w:r w:rsidRPr="00284F4B">
              <w:rPr>
                <w:vertAlign w:val="subscript"/>
              </w:rPr>
              <w:t xml:space="preserve">BW RF,high </w:t>
            </w:r>
            <w:r w:rsidRPr="00284F4B">
              <w:t xml:space="preserve"> </w:t>
            </w:r>
            <w:r w:rsidRPr="00284F4B">
              <w:rPr>
                <w:lang w:eastAsia="en-GB"/>
              </w:rPr>
              <w:t>+ 10 MHz (Note 1)</w:t>
            </w:r>
          </w:p>
        </w:tc>
        <w:tc>
          <w:tcPr>
            <w:tcW w:w="3580" w:type="dxa"/>
          </w:tcPr>
          <w:p w14:paraId="0148EDBD" w14:textId="77777777" w:rsidR="006A0B2A" w:rsidRPr="00284F4B" w:rsidRDefault="006A0B2A" w:rsidP="00F545E5">
            <w:pPr>
              <w:pStyle w:val="TAC"/>
              <w:jc w:val="both"/>
              <w:rPr>
                <w:lang w:eastAsia="en-GB"/>
              </w:rPr>
            </w:pPr>
            <w:r w:rsidRPr="00284F4B">
              <w:rPr>
                <w:lang w:eastAsia="en-GB"/>
              </w:rPr>
              <w:t>Not defined</w:t>
            </w:r>
          </w:p>
        </w:tc>
      </w:tr>
      <w:tr w:rsidR="006A0B2A" w:rsidRPr="00284F4B" w14:paraId="1DA0209C" w14:textId="77777777" w:rsidTr="00020EE0">
        <w:trPr>
          <w:cantSplit/>
          <w:jc w:val="center"/>
        </w:trPr>
        <w:tc>
          <w:tcPr>
            <w:tcW w:w="6345" w:type="dxa"/>
            <w:gridSpan w:val="2"/>
          </w:tcPr>
          <w:p w14:paraId="3E45FA4D" w14:textId="77777777" w:rsidR="006A0B2A" w:rsidRPr="00284F4B" w:rsidRDefault="006A0B2A" w:rsidP="00F545E5">
            <w:pPr>
              <w:pStyle w:val="TAN"/>
              <w:jc w:val="both"/>
              <w:rPr>
                <w:rFonts w:cs="v4.2.0"/>
                <w:lang w:eastAsia="en-GB"/>
              </w:rPr>
            </w:pPr>
            <w:r w:rsidRPr="00284F4B">
              <w:rPr>
                <w:lang w:eastAsia="en-GB"/>
              </w:rPr>
              <w:t>NOTE 1:</w:t>
            </w:r>
            <w:r w:rsidRPr="00284F4B">
              <w:rPr>
                <w:lang w:eastAsia="en-GB"/>
              </w:rPr>
              <w:tab/>
              <w:t>For BS capable of multi-band operation, the frequency ranges relating to the RF bandwidths of all supported bands apply.</w:t>
            </w:r>
          </w:p>
        </w:tc>
      </w:tr>
    </w:tbl>
    <w:p w14:paraId="230FC2D6" w14:textId="77777777" w:rsidR="006A0B2A" w:rsidRPr="00284F4B" w:rsidRDefault="006A0B2A" w:rsidP="00F545E5">
      <w:pPr>
        <w:overflowPunct w:val="0"/>
        <w:autoSpaceDE w:val="0"/>
        <w:autoSpaceDN w:val="0"/>
        <w:adjustRightInd w:val="0"/>
        <w:jc w:val="both"/>
        <w:textAlignment w:val="baseline"/>
        <w:rPr>
          <w:lang w:eastAsia="en-GB"/>
        </w:rPr>
      </w:pPr>
      <w:r w:rsidRPr="00284F4B">
        <w:rPr>
          <w:lang w:eastAsia="en-GB"/>
        </w:rPr>
        <w:t>Key:</w:t>
      </w:r>
    </w:p>
    <w:p w14:paraId="2EB24E21" w14:textId="77777777" w:rsidR="006A0B2A" w:rsidRPr="00284F4B" w:rsidRDefault="006A0B2A" w:rsidP="00F545E5">
      <w:pPr>
        <w:pStyle w:val="EW"/>
        <w:jc w:val="both"/>
        <w:rPr>
          <w:b/>
        </w:rPr>
      </w:pPr>
      <w:r w:rsidRPr="00284F4B">
        <w:t>F</w:t>
      </w:r>
      <w:r w:rsidRPr="00284F4B">
        <w:rPr>
          <w:vertAlign w:val="subscript"/>
        </w:rPr>
        <w:t>BW RF,high</w:t>
      </w:r>
      <w:r w:rsidRPr="00284F4B">
        <w:t>:</w:t>
      </w:r>
      <w:r w:rsidRPr="00284F4B">
        <w:tab/>
        <w:t>Upper RF bandwidth edge</w:t>
      </w:r>
    </w:p>
    <w:p w14:paraId="096C1F49" w14:textId="77777777" w:rsidR="006A0B2A" w:rsidRPr="00284F4B" w:rsidRDefault="006A0B2A" w:rsidP="00F545E5">
      <w:pPr>
        <w:pStyle w:val="EW"/>
        <w:jc w:val="both"/>
      </w:pPr>
      <w:r w:rsidRPr="00284F4B">
        <w:t>F</w:t>
      </w:r>
      <w:r w:rsidRPr="00284F4B">
        <w:rPr>
          <w:vertAlign w:val="subscript"/>
        </w:rPr>
        <w:t xml:space="preserve">BW RF,low </w:t>
      </w:r>
      <w:r w:rsidRPr="00284F4B">
        <w:t>:</w:t>
      </w:r>
      <w:r w:rsidRPr="00284F4B">
        <w:tab/>
      </w:r>
      <w:r w:rsidRPr="00284F4B">
        <w:tab/>
        <w:t>Lower RF bandwidth edge</w:t>
      </w:r>
    </w:p>
    <w:p w14:paraId="13F8D816" w14:textId="77777777" w:rsidR="006A0B2A" w:rsidRDefault="006A0B2A" w:rsidP="00F545E5">
      <w:pPr>
        <w:jc w:val="both"/>
        <w:rPr>
          <w:color w:val="000000" w:themeColor="text1"/>
          <w:sz w:val="22"/>
        </w:rPr>
      </w:pPr>
    </w:p>
    <w:p w14:paraId="4C86900B" w14:textId="58727EE8" w:rsidR="006A0B2A" w:rsidRDefault="006A0B2A" w:rsidP="00E95BF9">
      <w:pPr>
        <w:spacing w:line="276" w:lineRule="auto"/>
        <w:jc w:val="both"/>
        <w:rPr>
          <w:color w:val="000000" w:themeColor="text1"/>
          <w:sz w:val="22"/>
        </w:rPr>
      </w:pPr>
      <w:r>
        <w:rPr>
          <w:color w:val="000000" w:themeColor="text1"/>
          <w:sz w:val="22"/>
        </w:rPr>
        <w:t xml:space="preserve">The European </w:t>
      </w:r>
      <w:r w:rsidR="005A260E">
        <w:rPr>
          <w:color w:val="000000" w:themeColor="text1"/>
          <w:sz w:val="22"/>
        </w:rPr>
        <w:t>harmonized standard</w:t>
      </w:r>
      <w:r>
        <w:rPr>
          <w:color w:val="000000" w:themeColor="text1"/>
          <w:sz w:val="22"/>
        </w:rPr>
        <w:t xml:space="preserve"> covering RF requirements for BS (ETSI EN 301 908-1)</w:t>
      </w:r>
      <w:r w:rsidR="005E42E6">
        <w:rPr>
          <w:color w:val="000000" w:themeColor="text1"/>
          <w:sz w:val="22"/>
        </w:rPr>
        <w:t xml:space="preserve"> [3]</w:t>
      </w:r>
      <w:r>
        <w:rPr>
          <w:color w:val="000000" w:themeColor="text1"/>
          <w:sz w:val="22"/>
        </w:rPr>
        <w:t xml:space="preserve"> specifies the same ERP limits as the RAN4 EMC specifications for enclosure port spurious emissions of base stations, as shown in Table 2. On the other hand, the EMC radiated emission requirements for ancillary equipment of BS are specified in ETSI EN 301 489-1</w:t>
      </w:r>
      <w:r w:rsidR="005E42E6">
        <w:rPr>
          <w:color w:val="000000" w:themeColor="text1"/>
          <w:sz w:val="22"/>
        </w:rPr>
        <w:t xml:space="preserve"> [4]</w:t>
      </w:r>
      <w:r>
        <w:rPr>
          <w:color w:val="000000" w:themeColor="text1"/>
          <w:sz w:val="22"/>
        </w:rPr>
        <w:t xml:space="preserve">. </w:t>
      </w:r>
    </w:p>
    <w:p w14:paraId="6150DDD8" w14:textId="4FC1E121" w:rsidR="006A0B2A" w:rsidRDefault="006A0B2A" w:rsidP="00B925DC">
      <w:pPr>
        <w:spacing w:line="276" w:lineRule="auto"/>
        <w:jc w:val="center"/>
        <w:rPr>
          <w:color w:val="000000" w:themeColor="text1"/>
          <w:sz w:val="22"/>
        </w:rPr>
      </w:pPr>
      <w:r>
        <w:rPr>
          <w:color w:val="000000" w:themeColor="text1"/>
          <w:sz w:val="22"/>
        </w:rPr>
        <w:lastRenderedPageBreak/>
        <w:t xml:space="preserve">Table 2. </w:t>
      </w:r>
      <w:r w:rsidRPr="00250B73">
        <w:rPr>
          <w:color w:val="000000" w:themeColor="text1"/>
          <w:sz w:val="22"/>
        </w:rPr>
        <w:t>Limits for radiated emissions from BS</w:t>
      </w:r>
      <w:r>
        <w:rPr>
          <w:color w:val="000000" w:themeColor="text1"/>
          <w:sz w:val="22"/>
        </w:rPr>
        <w:t xml:space="preserve"> as specified in ETS</w:t>
      </w:r>
      <w:bookmarkStart w:id="1" w:name="_GoBack"/>
      <w:bookmarkEnd w:id="1"/>
      <w:r>
        <w:rPr>
          <w:color w:val="000000" w:themeColor="text1"/>
          <w:sz w:val="22"/>
        </w:rPr>
        <w:t>I EN 301 908-1</w:t>
      </w:r>
      <w:r w:rsidR="005E42E6">
        <w:rPr>
          <w:color w:val="000000" w:themeColor="text1"/>
          <w:sz w:val="22"/>
        </w:rPr>
        <w:t xml:space="preserve"> [3]</w:t>
      </w:r>
      <w:r>
        <w:rPr>
          <w:color w:val="000000" w:themeColor="text1"/>
          <w:sz w:val="22"/>
        </w:rPr>
        <w:t xml:space="preserve"> for BS.</w:t>
      </w:r>
    </w:p>
    <w:p w14:paraId="765B9E3A" w14:textId="77777777" w:rsidR="006A0B2A" w:rsidRDefault="006A0B2A" w:rsidP="005E42E6">
      <w:pPr>
        <w:jc w:val="center"/>
        <w:rPr>
          <w:color w:val="000000" w:themeColor="text1"/>
          <w:sz w:val="22"/>
        </w:rPr>
      </w:pPr>
      <w:r>
        <w:rPr>
          <w:noProof/>
          <w:lang w:val="sv-SE" w:eastAsia="sv-SE"/>
        </w:rPr>
        <w:drawing>
          <wp:inline distT="0" distB="0" distL="0" distR="0" wp14:anchorId="49F465A0" wp14:editId="3FEB9107">
            <wp:extent cx="5019675" cy="148123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3081" cy="1491097"/>
                    </a:xfrm>
                    <a:prstGeom prst="rect">
                      <a:avLst/>
                    </a:prstGeom>
                  </pic:spPr>
                </pic:pic>
              </a:graphicData>
            </a:graphic>
          </wp:inline>
        </w:drawing>
      </w:r>
    </w:p>
    <w:p w14:paraId="1D4110B3" w14:textId="380CAD2F" w:rsidR="006A0B2A" w:rsidRDefault="006A0B2A" w:rsidP="00E95BF9">
      <w:pPr>
        <w:spacing w:line="276" w:lineRule="auto"/>
        <w:jc w:val="both"/>
        <w:rPr>
          <w:color w:val="000000" w:themeColor="text1"/>
          <w:sz w:val="22"/>
        </w:rPr>
      </w:pPr>
      <w:r w:rsidRPr="00FD6E31">
        <w:rPr>
          <w:b/>
          <w:color w:val="000000" w:themeColor="text1"/>
          <w:sz w:val="22"/>
        </w:rPr>
        <w:t xml:space="preserve">Observation </w:t>
      </w:r>
      <w:r w:rsidR="007E405B" w:rsidRPr="00FD6E31">
        <w:rPr>
          <w:b/>
          <w:color w:val="000000" w:themeColor="text1"/>
          <w:sz w:val="22"/>
        </w:rPr>
        <w:t>3</w:t>
      </w:r>
      <w:r w:rsidRPr="00FD6E31">
        <w:rPr>
          <w:b/>
          <w:color w:val="000000" w:themeColor="text1"/>
          <w:sz w:val="22"/>
        </w:rPr>
        <w:t>:</w:t>
      </w:r>
      <w:r w:rsidRPr="007E405B">
        <w:rPr>
          <w:color w:val="000000" w:themeColor="text1"/>
          <w:sz w:val="22"/>
        </w:rPr>
        <w:t xml:space="preserve"> </w:t>
      </w:r>
      <w:r w:rsidR="00B925DC">
        <w:rPr>
          <w:color w:val="000000" w:themeColor="text1"/>
          <w:sz w:val="22"/>
        </w:rPr>
        <w:t xml:space="preserve">In Europe, the requirement for </w:t>
      </w:r>
      <w:r w:rsidRPr="007E405B">
        <w:rPr>
          <w:color w:val="000000" w:themeColor="text1"/>
          <w:sz w:val="22"/>
        </w:rPr>
        <w:t>the enclosure port</w:t>
      </w:r>
      <w:r w:rsidR="00B925DC">
        <w:rPr>
          <w:color w:val="000000" w:themeColor="text1"/>
          <w:sz w:val="22"/>
        </w:rPr>
        <w:t xml:space="preserve"> radiated spurious emission is </w:t>
      </w:r>
      <w:r w:rsidRPr="007E405B">
        <w:rPr>
          <w:color w:val="000000" w:themeColor="text1"/>
          <w:sz w:val="22"/>
        </w:rPr>
        <w:t>defined in the harmonized radio standard (</w:t>
      </w:r>
      <w:r>
        <w:rPr>
          <w:color w:val="000000" w:themeColor="text1"/>
          <w:sz w:val="22"/>
        </w:rPr>
        <w:t>ETSI EN 301 908-1</w:t>
      </w:r>
      <w:r w:rsidR="00B925DC">
        <w:rPr>
          <w:color w:val="000000" w:themeColor="text1"/>
          <w:sz w:val="22"/>
        </w:rPr>
        <w:t xml:space="preserve">). On the other hand, the </w:t>
      </w:r>
      <w:r w:rsidRPr="007E405B">
        <w:rPr>
          <w:color w:val="000000" w:themeColor="text1"/>
          <w:sz w:val="22"/>
        </w:rPr>
        <w:t xml:space="preserve">EMC standard (ETSI EN 301 489-1) covers radiated emission for ancillary equipment. </w:t>
      </w:r>
      <w:r w:rsidR="00404BA2">
        <w:rPr>
          <w:color w:val="000000" w:themeColor="text1"/>
          <w:sz w:val="22"/>
        </w:rPr>
        <w:t>S</w:t>
      </w:r>
      <w:r w:rsidR="00404BA2" w:rsidRPr="00404BA2">
        <w:rPr>
          <w:color w:val="000000" w:themeColor="text1"/>
          <w:sz w:val="22"/>
        </w:rPr>
        <w:t>pecifying EMC radiated emission as an EMC requirement in the EMC specifications may have been a mistake from the beginning. This considering that the regulations do not include any EMC radiated emissions for BS, only for ancillary equipment</w:t>
      </w:r>
      <w:r w:rsidR="00143176">
        <w:rPr>
          <w:color w:val="000000" w:themeColor="text1"/>
          <w:sz w:val="22"/>
        </w:rPr>
        <w:t xml:space="preserve">. </w:t>
      </w:r>
      <w:r>
        <w:rPr>
          <w:color w:val="000000" w:themeColor="text1"/>
          <w:sz w:val="22"/>
        </w:rPr>
        <w:t xml:space="preserve">In the US there are no EMC emission requirements for radio products except for other functionalities such as RET and for ancillary equipment. </w:t>
      </w:r>
    </w:p>
    <w:p w14:paraId="642A6869" w14:textId="7AEA9997" w:rsidR="006A0B2A" w:rsidRPr="007E405B" w:rsidRDefault="007E405B" w:rsidP="00E95BF9">
      <w:pPr>
        <w:spacing w:line="276" w:lineRule="auto"/>
        <w:jc w:val="both"/>
        <w:rPr>
          <w:color w:val="000000" w:themeColor="text1"/>
          <w:sz w:val="22"/>
        </w:rPr>
      </w:pPr>
      <w:r w:rsidRPr="00FD6E31">
        <w:rPr>
          <w:b/>
          <w:color w:val="000000" w:themeColor="text1"/>
          <w:sz w:val="22"/>
        </w:rPr>
        <w:t>Observation 4</w:t>
      </w:r>
      <w:r w:rsidR="006A0B2A" w:rsidRPr="00FD6E31">
        <w:rPr>
          <w:b/>
          <w:color w:val="000000" w:themeColor="text1"/>
          <w:sz w:val="22"/>
        </w:rPr>
        <w:t xml:space="preserve">: </w:t>
      </w:r>
      <w:r w:rsidR="006A0B2A" w:rsidRPr="007E405B">
        <w:rPr>
          <w:color w:val="000000" w:themeColor="text1"/>
          <w:sz w:val="22"/>
        </w:rPr>
        <w:t>Considering that neither the US nor the EU define the enclosure port radiated emission as an EMC but as a radio requirement, RAN 4 may also consider the enclosure port radiated emission as a radio requirement</w:t>
      </w:r>
    </w:p>
    <w:p w14:paraId="3A250A44" w14:textId="5EC9A1DE" w:rsidR="00850FCC" w:rsidRPr="005A260E" w:rsidRDefault="005A260E" w:rsidP="00E95BF9">
      <w:pPr>
        <w:spacing w:line="276" w:lineRule="auto"/>
        <w:jc w:val="both"/>
        <w:rPr>
          <w:color w:val="000000" w:themeColor="text1"/>
          <w:sz w:val="22"/>
        </w:rPr>
      </w:pPr>
      <w:r>
        <w:rPr>
          <w:color w:val="000000" w:themeColor="text1"/>
          <w:sz w:val="22"/>
        </w:rPr>
        <w:t xml:space="preserve">On the other hand, ZTE </w:t>
      </w:r>
      <w:r w:rsidR="00656011">
        <w:rPr>
          <w:color w:val="000000" w:themeColor="text1"/>
          <w:sz w:val="22"/>
        </w:rPr>
        <w:t>in [5</w:t>
      </w:r>
      <w:r>
        <w:rPr>
          <w:color w:val="000000" w:themeColor="text1"/>
          <w:sz w:val="22"/>
        </w:rPr>
        <w:t>] observes that OTA spurious emissions cover the EMC radiated emissions for Range 1-O and Range 2 in NR BS. This after comparing the EMC radiated emissions and RF conformance requirement for transmitter spurious emissions of 36 series and 37 series specifications.</w:t>
      </w:r>
      <w:r w:rsidRPr="00E95BF9">
        <w:rPr>
          <w:color w:val="000000" w:themeColor="text1"/>
          <w:sz w:val="22"/>
        </w:rPr>
        <w:t xml:space="preserve"> </w:t>
      </w:r>
      <w:r w:rsidRPr="005A260E">
        <w:rPr>
          <w:color w:val="000000" w:themeColor="text1"/>
          <w:sz w:val="22"/>
        </w:rPr>
        <w:t>The difference is that transmitter spur</w:t>
      </w:r>
      <w:r>
        <w:rPr>
          <w:color w:val="000000" w:themeColor="text1"/>
          <w:sz w:val="22"/>
        </w:rPr>
        <w:t xml:space="preserve">ious emissions are tested with </w:t>
      </w:r>
      <w:r w:rsidRPr="005A260E">
        <w:rPr>
          <w:color w:val="000000" w:themeColor="text1"/>
          <w:sz w:val="22"/>
        </w:rPr>
        <w:t>conducted method while EMC radiated emissions are tested with radiated method. However, there are no antenna connector(s) and TAB connector(s) configure</w:t>
      </w:r>
      <w:r w:rsidR="00656011">
        <w:rPr>
          <w:color w:val="000000" w:themeColor="text1"/>
          <w:sz w:val="22"/>
        </w:rPr>
        <w:t xml:space="preserve">d in the Range 1-O and Range-2 </w:t>
      </w:r>
      <w:r w:rsidRPr="005A260E">
        <w:rPr>
          <w:color w:val="000000" w:themeColor="text1"/>
          <w:sz w:val="22"/>
        </w:rPr>
        <w:t>NR BS, so the transmitter spurious emissions will be tested in radiated method instead of conducted method.</w:t>
      </w:r>
    </w:p>
    <w:p w14:paraId="486CE768" w14:textId="77777777" w:rsidR="006650BC" w:rsidRDefault="006650BC" w:rsidP="00E95BF9">
      <w:pPr>
        <w:spacing w:line="276" w:lineRule="auto"/>
        <w:jc w:val="both"/>
        <w:rPr>
          <w:color w:val="000000" w:themeColor="text1"/>
          <w:sz w:val="22"/>
        </w:rPr>
      </w:pPr>
      <w:r w:rsidRPr="00FD6E31">
        <w:rPr>
          <w:b/>
          <w:color w:val="000000" w:themeColor="text1"/>
          <w:sz w:val="22"/>
        </w:rPr>
        <w:t xml:space="preserve">Observation 5: </w:t>
      </w:r>
      <w:r>
        <w:rPr>
          <w:color w:val="000000" w:themeColor="text1"/>
          <w:sz w:val="22"/>
        </w:rPr>
        <w:t xml:space="preserve">As the product is becoming fully integrated it is regarded feasible to specify only one single radiated spurious emission requirement and base it on only RF spurious emission, for which an OTA test methodology shall be defined in terms of TRP. This approach should be acceptable by the regulators as they will face the same issue going forward. </w:t>
      </w:r>
    </w:p>
    <w:p w14:paraId="540F80DB" w14:textId="77777777" w:rsidR="00805455" w:rsidRDefault="00805455" w:rsidP="00F545E5">
      <w:pPr>
        <w:pStyle w:val="Heading2"/>
        <w:jc w:val="both"/>
      </w:pPr>
      <w:r>
        <w:t>Impact of adding RF spurious emissions and EMC emissions</w:t>
      </w:r>
      <w:r w:rsidRPr="00AB472B">
        <w:t xml:space="preserve"> </w:t>
      </w:r>
    </w:p>
    <w:p w14:paraId="2005A748" w14:textId="6E98675B" w:rsidR="00805455" w:rsidRDefault="00805455" w:rsidP="00F545E5">
      <w:pPr>
        <w:spacing w:line="276" w:lineRule="auto"/>
        <w:jc w:val="both"/>
        <w:rPr>
          <w:color w:val="000000" w:themeColor="text1"/>
          <w:sz w:val="22"/>
        </w:rPr>
      </w:pPr>
      <w:r>
        <w:rPr>
          <w:color w:val="000000" w:themeColor="text1"/>
          <w:sz w:val="22"/>
        </w:rPr>
        <w:t>In paper [</w:t>
      </w:r>
      <w:r w:rsidR="00656011">
        <w:rPr>
          <w:color w:val="000000" w:themeColor="text1"/>
          <w:sz w:val="22"/>
        </w:rPr>
        <w:t>6</w:t>
      </w:r>
      <w:r>
        <w:rPr>
          <w:color w:val="000000" w:themeColor="text1"/>
          <w:sz w:val="22"/>
        </w:rPr>
        <w:t xml:space="preserve">], Ericsson </w:t>
      </w:r>
      <w:r w:rsidRPr="00AB472B">
        <w:rPr>
          <w:color w:val="000000" w:themeColor="text1"/>
          <w:sz w:val="22"/>
        </w:rPr>
        <w:t xml:space="preserve">shows that the linear sum of the EMC radiated emission limit and the RF spurious emission limits does not significantly impact the total OTA spurious emission limit. </w:t>
      </w:r>
      <w:r>
        <w:rPr>
          <w:color w:val="000000" w:themeColor="text1"/>
          <w:sz w:val="22"/>
        </w:rPr>
        <w:t>The maximum difference when comparing the different sets of limits is approximately 1.5 dB.</w:t>
      </w:r>
      <w:r w:rsidR="00E86BB4">
        <w:rPr>
          <w:color w:val="000000" w:themeColor="text1"/>
          <w:sz w:val="22"/>
        </w:rPr>
        <w:t xml:space="preserve"> </w:t>
      </w:r>
      <w:r>
        <w:rPr>
          <w:color w:val="000000" w:themeColor="text1"/>
          <w:sz w:val="22"/>
        </w:rPr>
        <w:t>This result is similar to t</w:t>
      </w:r>
      <w:r w:rsidR="00B11FBB">
        <w:rPr>
          <w:color w:val="000000" w:themeColor="text1"/>
          <w:sz w:val="22"/>
        </w:rPr>
        <w:t>he one presented by Huawei in [7</w:t>
      </w:r>
      <w:r>
        <w:rPr>
          <w:color w:val="000000" w:themeColor="text1"/>
          <w:sz w:val="22"/>
        </w:rPr>
        <w:t xml:space="preserve">] during the </w:t>
      </w:r>
      <w:r w:rsidR="003D6EE9">
        <w:rPr>
          <w:color w:val="000000" w:themeColor="text1"/>
          <w:sz w:val="22"/>
        </w:rPr>
        <w:t>RAN4 NR#3 meeting. Same study [7</w:t>
      </w:r>
      <w:r>
        <w:rPr>
          <w:color w:val="000000" w:themeColor="text1"/>
          <w:sz w:val="22"/>
        </w:rPr>
        <w:t>], shows that in “</w:t>
      </w:r>
      <w:r w:rsidRPr="00DD5CE5">
        <w:rPr>
          <w:i/>
          <w:color w:val="000000" w:themeColor="text1"/>
          <w:sz w:val="22"/>
        </w:rPr>
        <w:t>selected cases the summed emission limits resulted in</w:t>
      </w:r>
      <w:r>
        <w:rPr>
          <w:color w:val="000000" w:themeColor="text1"/>
          <w:sz w:val="22"/>
        </w:rPr>
        <w:t xml:space="preserve"> </w:t>
      </w:r>
      <w:r>
        <w:rPr>
          <w:i/>
          <w:color w:val="000000" w:themeColor="text1"/>
          <w:sz w:val="22"/>
        </w:rPr>
        <w:t>increase of the emissions level up to 1.5 dB (UTRA case which would not be applica</w:t>
      </w:r>
      <w:r w:rsidRPr="00E95BF9">
        <w:rPr>
          <w:color w:val="000000" w:themeColor="text1"/>
          <w:sz w:val="22"/>
        </w:rPr>
        <w:t xml:space="preserve">ble to the NR), and up to 0.8 (E-UTRA case, expected to be reused for the NR). </w:t>
      </w:r>
      <w:r>
        <w:rPr>
          <w:color w:val="000000" w:themeColor="text1"/>
          <w:sz w:val="22"/>
        </w:rPr>
        <w:t xml:space="preserve"> </w:t>
      </w:r>
    </w:p>
    <w:p w14:paraId="13EF3A2B" w14:textId="0C825C64" w:rsidR="00805455" w:rsidRDefault="00805455" w:rsidP="00F545E5">
      <w:pPr>
        <w:spacing w:line="276" w:lineRule="auto"/>
        <w:jc w:val="both"/>
        <w:rPr>
          <w:color w:val="000000" w:themeColor="text1"/>
          <w:sz w:val="22"/>
        </w:rPr>
      </w:pPr>
      <w:r w:rsidRPr="00FD6E31">
        <w:rPr>
          <w:b/>
          <w:color w:val="000000" w:themeColor="text1"/>
          <w:sz w:val="22"/>
        </w:rPr>
        <w:t xml:space="preserve">Observation </w:t>
      </w:r>
      <w:r w:rsidR="00FD6E31" w:rsidRPr="00FD6E31">
        <w:rPr>
          <w:b/>
          <w:color w:val="000000" w:themeColor="text1"/>
          <w:sz w:val="22"/>
        </w:rPr>
        <w:t>6</w:t>
      </w:r>
      <w:r w:rsidRPr="00FD6E31">
        <w:rPr>
          <w:b/>
          <w:color w:val="000000" w:themeColor="text1"/>
          <w:sz w:val="22"/>
        </w:rPr>
        <w:t>:</w:t>
      </w:r>
      <w:r>
        <w:rPr>
          <w:color w:val="000000" w:themeColor="text1"/>
          <w:sz w:val="22"/>
        </w:rPr>
        <w:t xml:space="preserve"> From our point of view, the obtained results both in this study and in Huawei’s contribution show that the addition of the EMC radiated emission limit will only make a minor difference to the stringency of the requirement. </w:t>
      </w:r>
    </w:p>
    <w:p w14:paraId="54D5D87C" w14:textId="610A59E5" w:rsidR="00805455" w:rsidRDefault="00805455" w:rsidP="00F545E5">
      <w:pPr>
        <w:spacing w:line="276" w:lineRule="auto"/>
        <w:jc w:val="both"/>
        <w:rPr>
          <w:color w:val="000000" w:themeColor="text1"/>
          <w:sz w:val="22"/>
        </w:rPr>
      </w:pPr>
      <w:r w:rsidRPr="00FD6E31">
        <w:rPr>
          <w:b/>
          <w:color w:val="000000" w:themeColor="text1"/>
          <w:sz w:val="22"/>
        </w:rPr>
        <w:t xml:space="preserve">Observation </w:t>
      </w:r>
      <w:r w:rsidR="00FD6E31" w:rsidRPr="00FD6E31">
        <w:rPr>
          <w:b/>
          <w:color w:val="000000" w:themeColor="text1"/>
          <w:sz w:val="22"/>
        </w:rPr>
        <w:t>7</w:t>
      </w:r>
      <w:r w:rsidRPr="00FD6E31">
        <w:rPr>
          <w:b/>
          <w:color w:val="000000" w:themeColor="text1"/>
          <w:sz w:val="22"/>
        </w:rPr>
        <w:t>:</w:t>
      </w:r>
      <w:r w:rsidR="00FD6E31">
        <w:rPr>
          <w:color w:val="000000" w:themeColor="text1"/>
          <w:sz w:val="22"/>
        </w:rPr>
        <w:t xml:space="preserve"> </w:t>
      </w:r>
      <w:r w:rsidRPr="00AB472B">
        <w:rPr>
          <w:color w:val="000000" w:themeColor="text1"/>
          <w:sz w:val="22"/>
        </w:rPr>
        <w:t>RF radiated spurious emissions and EMC radiated emissions cannot be distinguish</w:t>
      </w:r>
      <w:r>
        <w:rPr>
          <w:color w:val="000000" w:themeColor="text1"/>
          <w:sz w:val="22"/>
        </w:rPr>
        <w:t xml:space="preserve">ed in the OTA measurement setup for NR Range 1-O and Range 2, which </w:t>
      </w:r>
      <w:r w:rsidR="00E86BB4">
        <w:rPr>
          <w:color w:val="000000" w:themeColor="text1"/>
          <w:sz w:val="22"/>
        </w:rPr>
        <w:t>might make</w:t>
      </w:r>
      <w:r>
        <w:rPr>
          <w:color w:val="000000" w:themeColor="text1"/>
          <w:sz w:val="22"/>
        </w:rPr>
        <w:t xml:space="preserve"> redundant the sum </w:t>
      </w:r>
      <w:r w:rsidRPr="00B367F6">
        <w:rPr>
          <w:color w:val="000000" w:themeColor="text1"/>
          <w:sz w:val="22"/>
        </w:rPr>
        <w:t>of RF spurious + EMC radiated emission</w:t>
      </w:r>
      <w:r>
        <w:rPr>
          <w:color w:val="000000" w:themeColor="text1"/>
          <w:sz w:val="22"/>
        </w:rPr>
        <w:t xml:space="preserve"> limits. On the other hand, the analysis presented in </w:t>
      </w:r>
      <w:r w:rsidR="00E86BB4">
        <w:rPr>
          <w:color w:val="000000" w:themeColor="text1"/>
          <w:sz w:val="22"/>
        </w:rPr>
        <w:t>[</w:t>
      </w:r>
      <w:r w:rsidR="00B11FBB">
        <w:rPr>
          <w:color w:val="000000" w:themeColor="text1"/>
          <w:sz w:val="22"/>
        </w:rPr>
        <w:t>6</w:t>
      </w:r>
      <w:r w:rsidR="00E86BB4">
        <w:rPr>
          <w:color w:val="000000" w:themeColor="text1"/>
          <w:sz w:val="22"/>
        </w:rPr>
        <w:t>] shows</w:t>
      </w:r>
      <w:r>
        <w:rPr>
          <w:color w:val="000000" w:themeColor="text1"/>
          <w:sz w:val="22"/>
        </w:rPr>
        <w:t xml:space="preserve"> that the addition of the EMC radiated emission limit will only make a minor difference to the stringency of the requirement.</w:t>
      </w:r>
    </w:p>
    <w:p w14:paraId="030B6770" w14:textId="48FCB271" w:rsidR="00C03D8E" w:rsidRDefault="00512090" w:rsidP="00F545E5">
      <w:pPr>
        <w:pStyle w:val="Heading1"/>
        <w:jc w:val="both"/>
      </w:pPr>
      <w:r>
        <w:t>Conclusion</w:t>
      </w:r>
    </w:p>
    <w:p w14:paraId="5BC3E39C" w14:textId="5DF1F844" w:rsidR="006D3FE6" w:rsidRDefault="00FD6E31" w:rsidP="00B925DC">
      <w:pPr>
        <w:pStyle w:val="BodyText"/>
        <w:jc w:val="both"/>
        <w:rPr>
          <w:color w:val="000000" w:themeColor="text1"/>
          <w:sz w:val="22"/>
        </w:rPr>
      </w:pPr>
      <w:r>
        <w:rPr>
          <w:color w:val="000000" w:themeColor="text1"/>
          <w:sz w:val="22"/>
        </w:rPr>
        <w:t xml:space="preserve">In this </w:t>
      </w:r>
      <w:r w:rsidR="004715B2">
        <w:rPr>
          <w:color w:val="000000" w:themeColor="text1"/>
          <w:sz w:val="22"/>
        </w:rPr>
        <w:t>contribution,</w:t>
      </w:r>
      <w:r>
        <w:rPr>
          <w:color w:val="000000" w:themeColor="text1"/>
          <w:sz w:val="22"/>
        </w:rPr>
        <w:t xml:space="preserve"> we are </w:t>
      </w:r>
      <w:r w:rsidR="001530F3">
        <w:rPr>
          <w:color w:val="000000" w:themeColor="text1"/>
          <w:sz w:val="22"/>
        </w:rPr>
        <w:t>looking into</w:t>
      </w:r>
      <w:r>
        <w:rPr>
          <w:color w:val="000000" w:themeColor="text1"/>
          <w:sz w:val="22"/>
        </w:rPr>
        <w:t xml:space="preserve"> </w:t>
      </w:r>
      <w:r w:rsidR="004715B2">
        <w:t>some aspects of to be considered in the specification of EMC requirements for eAAS.</w:t>
      </w:r>
      <w:r w:rsidR="001530F3">
        <w:t xml:space="preserve"> The analysis above pres</w:t>
      </w:r>
      <w:r w:rsidR="009F733E">
        <w:t xml:space="preserve">ented </w:t>
      </w:r>
      <w:r w:rsidR="006D3FE6">
        <w:t xml:space="preserve">included the WF on EMC agreed in RAN4 NR#3, the </w:t>
      </w:r>
      <w:r w:rsidR="006D3FE6">
        <w:lastRenderedPageBreak/>
        <w:t>regulatory considerations on EMC and some elements to consider in the sum of RF spurious emissions and EMC emissions. If the elements considered in the WF would be found as suitable for eAAS, it would be important to define the way the specification on EMC and RF will be impacted. This migh</w:t>
      </w:r>
      <w:r w:rsidR="00844B4B">
        <w:t>t</w:t>
      </w:r>
      <w:r w:rsidR="00B925DC">
        <w:t xml:space="preserve"> imply s</w:t>
      </w:r>
      <w:r w:rsidR="00844B4B">
        <w:rPr>
          <w:color w:val="000000" w:themeColor="text1"/>
          <w:sz w:val="22"/>
        </w:rPr>
        <w:t>pecifying only one single radiated spurious emission requirement and base it on only RF spurious emission, for which an OTA test methodology shall be defined in terms of TRP.</w:t>
      </w:r>
    </w:p>
    <w:p w14:paraId="181D7C13" w14:textId="390FE6A3" w:rsidR="005E1A4A" w:rsidRDefault="005E1A4A" w:rsidP="00F545E5">
      <w:pPr>
        <w:jc w:val="both"/>
        <w:rPr>
          <w:b/>
          <w:i/>
          <w:color w:val="000000" w:themeColor="text1"/>
          <w:sz w:val="22"/>
        </w:rPr>
      </w:pPr>
    </w:p>
    <w:p w14:paraId="0C189126" w14:textId="627861C6" w:rsidR="005928E6" w:rsidRPr="002E57B8" w:rsidRDefault="005928E6" w:rsidP="00F545E5">
      <w:pPr>
        <w:pStyle w:val="Heading1"/>
        <w:jc w:val="both"/>
      </w:pPr>
      <w:r>
        <w:t>References</w:t>
      </w:r>
    </w:p>
    <w:p w14:paraId="3A146310" w14:textId="3B291F33" w:rsidR="00E06A00" w:rsidRDefault="00E06A00" w:rsidP="00F545E5">
      <w:pPr>
        <w:pStyle w:val="a"/>
        <w:jc w:val="both"/>
        <w:rPr>
          <w:color w:val="000000" w:themeColor="text1"/>
          <w:lang w:val="en-US" w:eastAsia="zh-CN"/>
        </w:rPr>
      </w:pPr>
      <w:r>
        <w:rPr>
          <w:color w:val="000000" w:themeColor="text1"/>
          <w:lang w:val="en-US" w:eastAsia="zh-CN"/>
        </w:rPr>
        <w:t xml:space="preserve">R4-1710019, WF on </w:t>
      </w:r>
      <w:r w:rsidRPr="009C5B73">
        <w:rPr>
          <w:color w:val="000000" w:themeColor="text1"/>
          <w:lang w:val="en-US" w:eastAsia="zh-CN"/>
        </w:rPr>
        <w:t>EMC radiated emission and RF spurious emission requirements for NR BS</w:t>
      </w:r>
      <w:r>
        <w:rPr>
          <w:color w:val="000000" w:themeColor="text1"/>
          <w:lang w:val="en-US" w:eastAsia="zh-CN"/>
        </w:rPr>
        <w:t>. Ericsson, Huawei and ZTE.</w:t>
      </w:r>
    </w:p>
    <w:p w14:paraId="33CE68AD" w14:textId="77777777" w:rsidR="005E42E6" w:rsidRDefault="00143176" w:rsidP="001F5E7E">
      <w:pPr>
        <w:pStyle w:val="a"/>
        <w:rPr>
          <w:lang w:val="en-US" w:eastAsia="zh-CN"/>
        </w:rPr>
      </w:pPr>
      <w:r w:rsidRPr="005E42E6">
        <w:rPr>
          <w:color w:val="000000" w:themeColor="text1"/>
          <w:lang w:val="en-US" w:eastAsia="zh-CN"/>
        </w:rPr>
        <w:t>3GPP TR 37.113 - E-UTRA, UTRA and GSM/EDGE; Multi-Standard Radio (MSR) Base Station (BS) Electromagnetic Compatibility (EMC)</w:t>
      </w:r>
      <w:r w:rsidR="00836855" w:rsidRPr="005E42E6">
        <w:rPr>
          <w:color w:val="000000" w:themeColor="text1"/>
          <w:lang w:val="en-US" w:eastAsia="zh-CN"/>
        </w:rPr>
        <w:t>.</w:t>
      </w:r>
    </w:p>
    <w:p w14:paraId="5EF204B5" w14:textId="60CC7F35" w:rsidR="005E42E6" w:rsidRPr="00F176C3" w:rsidRDefault="005E42E6" w:rsidP="005E42E6">
      <w:pPr>
        <w:pStyle w:val="a"/>
        <w:rPr>
          <w:lang w:val="en-US" w:eastAsia="zh-CN"/>
        </w:rPr>
      </w:pPr>
      <w:r w:rsidRPr="005E42E6">
        <w:t>ETSI EN 301 908-1</w:t>
      </w:r>
      <w:r>
        <w:t>. IMT cellular networks; Harmonised Standard covering the essential requirements of article 3.2 of the Directive 2014/53/EU; Part 1: Introduction and common requirements.</w:t>
      </w:r>
    </w:p>
    <w:p w14:paraId="203900FA" w14:textId="5C190ED5" w:rsidR="00F176C3" w:rsidRPr="00656011" w:rsidRDefault="00B15006" w:rsidP="00B15006">
      <w:pPr>
        <w:pStyle w:val="a"/>
        <w:rPr>
          <w:lang w:val="en-US" w:eastAsia="zh-CN"/>
        </w:rPr>
      </w:pPr>
      <w:r w:rsidRPr="00B15006">
        <w:rPr>
          <w:lang w:val="en-US" w:eastAsia="zh-CN"/>
        </w:rPr>
        <w:t>ETSI EN 301 489-1</w:t>
      </w:r>
      <w:r>
        <w:rPr>
          <w:lang w:val="en-US" w:eastAsia="zh-CN"/>
        </w:rPr>
        <w:t>.</w:t>
      </w:r>
      <w:r w:rsidRPr="00B15006">
        <w:t xml:space="preserve"> </w:t>
      </w:r>
      <w:r>
        <w:t>ElectroMagnetic Compatibility (EMC) standard for radio equipment and services; Part 1: Common technical requirements; Harmonised Standard covering the essential requirements of article 3.1(b) of Directive 2014/53/EU and the essential requirements of article 6 of Directive 2014/30/EU.</w:t>
      </w:r>
    </w:p>
    <w:p w14:paraId="1077129E" w14:textId="6A7BE305" w:rsidR="00656011" w:rsidRPr="00656011" w:rsidRDefault="00A47E72" w:rsidP="00656011">
      <w:pPr>
        <w:pStyle w:val="a"/>
        <w:rPr>
          <w:lang w:val="en-US" w:eastAsia="zh-CN"/>
        </w:rPr>
      </w:pPr>
      <w:r>
        <w:rPr>
          <w:lang w:val="en-US" w:eastAsia="zh-CN"/>
        </w:rPr>
        <w:t xml:space="preserve">R4-1709596. </w:t>
      </w:r>
      <w:r w:rsidR="00656011" w:rsidRPr="00656011">
        <w:rPr>
          <w:lang w:val="en-US" w:eastAsia="zh-CN"/>
        </w:rPr>
        <w:t>Further consideration on EMC RE requirements for OTA BS in TS 38.113. ZTE</w:t>
      </w:r>
    </w:p>
    <w:p w14:paraId="782BD54E" w14:textId="4E60FCC5" w:rsidR="00A47E72" w:rsidRPr="00B11FBB" w:rsidRDefault="00A47E72" w:rsidP="001F5E7E">
      <w:pPr>
        <w:pStyle w:val="a"/>
        <w:rPr>
          <w:lang w:val="en-US" w:eastAsia="zh-CN"/>
        </w:rPr>
      </w:pPr>
      <w:r w:rsidRPr="00656011">
        <w:rPr>
          <w:lang w:val="en-US" w:eastAsia="zh-CN"/>
        </w:rPr>
        <w:t>R4-17095</w:t>
      </w:r>
      <w:r>
        <w:rPr>
          <w:lang w:val="en-US" w:eastAsia="zh-CN"/>
        </w:rPr>
        <w:t xml:space="preserve">44. </w:t>
      </w:r>
      <w:r>
        <w:t>Discussion on combined limit for EMC radiated emission and RF spurious emission for  NR BS 1-R</w:t>
      </w:r>
    </w:p>
    <w:p w14:paraId="6DDACEC9" w14:textId="77777777" w:rsidR="00B11FBB" w:rsidRDefault="00B11FBB" w:rsidP="00B11FBB">
      <w:pPr>
        <w:pStyle w:val="a"/>
        <w:jc w:val="both"/>
        <w:rPr>
          <w:color w:val="000000" w:themeColor="text1"/>
          <w:lang w:val="en-US" w:eastAsia="zh-CN"/>
        </w:rPr>
      </w:pPr>
      <w:r w:rsidRPr="00AB472B">
        <w:rPr>
          <w:color w:val="000000" w:themeColor="text1"/>
          <w:lang w:val="en-US" w:eastAsia="zh-CN"/>
        </w:rPr>
        <w:t>R4-170</w:t>
      </w:r>
      <w:r>
        <w:rPr>
          <w:color w:val="000000" w:themeColor="text1"/>
          <w:lang w:val="en-US" w:eastAsia="zh-CN"/>
        </w:rPr>
        <w:t>9807, Impact of adding RF RSE and EMC RE emissions. Huawei</w:t>
      </w:r>
    </w:p>
    <w:sectPr w:rsidR="00B11FBB"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F0FB9" w14:textId="77777777" w:rsidR="00B00CB3" w:rsidRDefault="00B00CB3">
      <w:r>
        <w:separator/>
      </w:r>
    </w:p>
  </w:endnote>
  <w:endnote w:type="continuationSeparator" w:id="0">
    <w:p w14:paraId="351187D3" w14:textId="77777777" w:rsidR="00B00CB3" w:rsidRDefault="00B00CB3">
      <w:r>
        <w:continuationSeparator/>
      </w:r>
    </w:p>
  </w:endnote>
  <w:endnote w:type="continuationNotice" w:id="1">
    <w:p w14:paraId="65606EA8" w14:textId="77777777" w:rsidR="00B00CB3" w:rsidRDefault="00B00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E3552" w14:textId="77777777" w:rsidR="00B00CB3" w:rsidRDefault="00B00CB3">
      <w:r>
        <w:separator/>
      </w:r>
    </w:p>
  </w:footnote>
  <w:footnote w:type="continuationSeparator" w:id="0">
    <w:p w14:paraId="11A4D87A" w14:textId="77777777" w:rsidR="00B00CB3" w:rsidRDefault="00B00CB3">
      <w:r>
        <w:continuationSeparator/>
      </w:r>
    </w:p>
  </w:footnote>
  <w:footnote w:type="continuationNotice" w:id="1">
    <w:p w14:paraId="43C53418" w14:textId="77777777" w:rsidR="00B00CB3" w:rsidRDefault="00B00C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6C"/>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28"/>
    <w:rsid w:val="0006117C"/>
    <w:rsid w:val="0006132E"/>
    <w:rsid w:val="000614A8"/>
    <w:rsid w:val="000618C0"/>
    <w:rsid w:val="00061989"/>
    <w:rsid w:val="00062065"/>
    <w:rsid w:val="000620D3"/>
    <w:rsid w:val="000623EF"/>
    <w:rsid w:val="00062906"/>
    <w:rsid w:val="00062D45"/>
    <w:rsid w:val="00062DDB"/>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6E5"/>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502"/>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A2"/>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A81"/>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76"/>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0F3"/>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8BA"/>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72B"/>
    <w:rsid w:val="00235868"/>
    <w:rsid w:val="00235AC5"/>
    <w:rsid w:val="00235B5A"/>
    <w:rsid w:val="00235F3E"/>
    <w:rsid w:val="00236138"/>
    <w:rsid w:val="00236985"/>
    <w:rsid w:val="00236FB3"/>
    <w:rsid w:val="00237A22"/>
    <w:rsid w:val="00237F06"/>
    <w:rsid w:val="00237F9A"/>
    <w:rsid w:val="0024082A"/>
    <w:rsid w:val="00240E0C"/>
    <w:rsid w:val="002411B1"/>
    <w:rsid w:val="002412E5"/>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08"/>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57B"/>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4BA"/>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4D3"/>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B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7BC"/>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6EE9"/>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D71"/>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BA2"/>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B2"/>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4D9"/>
    <w:rsid w:val="00497D0B"/>
    <w:rsid w:val="00497DFA"/>
    <w:rsid w:val="004A01E4"/>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A7EE4"/>
    <w:rsid w:val="004B016C"/>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BBD"/>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0E"/>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5BC"/>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A4A"/>
    <w:rsid w:val="005E1D5C"/>
    <w:rsid w:val="005E1E7D"/>
    <w:rsid w:val="005E20AA"/>
    <w:rsid w:val="005E28F4"/>
    <w:rsid w:val="005E2C44"/>
    <w:rsid w:val="005E2DCA"/>
    <w:rsid w:val="005E36B1"/>
    <w:rsid w:val="005E372F"/>
    <w:rsid w:val="005E3958"/>
    <w:rsid w:val="005E3B85"/>
    <w:rsid w:val="005E4087"/>
    <w:rsid w:val="005E42E6"/>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B1E"/>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011"/>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C"/>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B2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1E"/>
    <w:rsid w:val="006D3BF7"/>
    <w:rsid w:val="006D3EBC"/>
    <w:rsid w:val="006D3F7C"/>
    <w:rsid w:val="006D3FE6"/>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650"/>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05B"/>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D63"/>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455"/>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85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4B4B"/>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0FCC"/>
    <w:rsid w:val="008510B1"/>
    <w:rsid w:val="008511F9"/>
    <w:rsid w:val="00851A8A"/>
    <w:rsid w:val="00851B90"/>
    <w:rsid w:val="00851BB5"/>
    <w:rsid w:val="00851FCB"/>
    <w:rsid w:val="0085216A"/>
    <w:rsid w:val="008522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AB3"/>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AA"/>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0EA"/>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33E"/>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459"/>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57"/>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47E72"/>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7DE"/>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A91"/>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6D6C"/>
    <w:rsid w:val="00AF73A8"/>
    <w:rsid w:val="00AF798A"/>
    <w:rsid w:val="00AF7B1E"/>
    <w:rsid w:val="00B00467"/>
    <w:rsid w:val="00B00C7A"/>
    <w:rsid w:val="00B00CB3"/>
    <w:rsid w:val="00B0188F"/>
    <w:rsid w:val="00B01ECA"/>
    <w:rsid w:val="00B023A8"/>
    <w:rsid w:val="00B02611"/>
    <w:rsid w:val="00B027F3"/>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1FBB"/>
    <w:rsid w:val="00B121A7"/>
    <w:rsid w:val="00B12283"/>
    <w:rsid w:val="00B123FA"/>
    <w:rsid w:val="00B12481"/>
    <w:rsid w:val="00B124E9"/>
    <w:rsid w:val="00B126E3"/>
    <w:rsid w:val="00B12BD4"/>
    <w:rsid w:val="00B12C64"/>
    <w:rsid w:val="00B12EE3"/>
    <w:rsid w:val="00B13017"/>
    <w:rsid w:val="00B13874"/>
    <w:rsid w:val="00B13C51"/>
    <w:rsid w:val="00B13CC5"/>
    <w:rsid w:val="00B13D1E"/>
    <w:rsid w:val="00B13DB1"/>
    <w:rsid w:val="00B1449C"/>
    <w:rsid w:val="00B144EC"/>
    <w:rsid w:val="00B14609"/>
    <w:rsid w:val="00B146E9"/>
    <w:rsid w:val="00B14C89"/>
    <w:rsid w:val="00B15006"/>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FAB"/>
    <w:rsid w:val="00B925DC"/>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A84"/>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DB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4FF"/>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8B4"/>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75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9A0"/>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5C"/>
    <w:rsid w:val="00CC74C3"/>
    <w:rsid w:val="00CC75B8"/>
    <w:rsid w:val="00CC77DA"/>
    <w:rsid w:val="00CC7878"/>
    <w:rsid w:val="00CC7D49"/>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1E"/>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3FA"/>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0D"/>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45A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403"/>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988"/>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00"/>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BB4"/>
    <w:rsid w:val="00E86CDD"/>
    <w:rsid w:val="00E8788A"/>
    <w:rsid w:val="00E878EF"/>
    <w:rsid w:val="00E87E0E"/>
    <w:rsid w:val="00E87E8A"/>
    <w:rsid w:val="00E9013F"/>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BF9"/>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908"/>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6C3"/>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6CD1"/>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5E5"/>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31"/>
    <w:rsid w:val="00FD6E85"/>
    <w:rsid w:val="00FD700E"/>
    <w:rsid w:val="00FD7056"/>
    <w:rsid w:val="00FD73FB"/>
    <w:rsid w:val="00FD78DC"/>
    <w:rsid w:val="00FD7902"/>
    <w:rsid w:val="00FD7A3A"/>
    <w:rsid w:val="00FD7C35"/>
    <w:rsid w:val="00FD7CE9"/>
    <w:rsid w:val="00FE0373"/>
    <w:rsid w:val="00FE03B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1835943">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8744987">
      <w:bodyDiv w:val="1"/>
      <w:marLeft w:val="0"/>
      <w:marRight w:val="0"/>
      <w:marTop w:val="0"/>
      <w:marBottom w:val="0"/>
      <w:divBdr>
        <w:top w:val="none" w:sz="0" w:space="0" w:color="auto"/>
        <w:left w:val="none" w:sz="0" w:space="0" w:color="auto"/>
        <w:bottom w:val="none" w:sz="0" w:space="0" w:color="auto"/>
        <w:right w:val="none" w:sz="0" w:space="0" w:color="auto"/>
      </w:divBdr>
      <w:divsChild>
        <w:div w:id="1837761975">
          <w:marLeft w:val="547"/>
          <w:marRight w:val="0"/>
          <w:marTop w:val="96"/>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17514845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057BF-9F1F-49E2-91BD-86825474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1210</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35</cp:revision>
  <cp:lastPrinted>2015-01-14T11:53:00Z</cp:lastPrinted>
  <dcterms:created xsi:type="dcterms:W3CDTF">2017-09-28T12:37:00Z</dcterms:created>
  <dcterms:modified xsi:type="dcterms:W3CDTF">2017-10-02T14:51:00Z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